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151"/>
        <w:rPr>
          <w:sz w:val="16"/>
          <w:szCs w:val="16"/>
          <w:shd w:val="clear"/>
          <w:rFonts w:ascii="Verdana" w:hAnsi="Verdana"/>
        </w:rPr>
      </w:pP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D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is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c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laimer: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br/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br/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Door de afspraak te maken ga je akkoord met onze al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g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emen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voorwaarden.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br/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Te weten: jij hebt j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akkoord verklaard met de behandelwijze: Transformational Cupping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.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br/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Je begrijpt dat je te allen tijden het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p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ro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c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es kunt beginnen en beeindigen. Jij bent op de hoo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g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te van het concept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Transformational Cupping en gee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f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t de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b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ehandelaar toeste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m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ming ten behoeve van de sessie. Ook heb jij kennis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genomen van de werkwijze tijdens Tra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n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sformational Cupping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.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J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kunt geen rechten on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t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lenen aan resultaten d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i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e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voortvloe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ie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n uit de ses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s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ie.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br/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De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b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ehandelaar zal de inhoud van de gehele sessie als vanzelfsprekend vetr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o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uwel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i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jk behandelen. Jij begrijpt dat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Transformational Cupping geen vervanger is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v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oor medische zorg.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J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e zu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l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t de eventuele huidige medis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c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he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behandeling inclusief medicijnen voortzetten en nimmer starten of stoppen zonder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a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de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quaat advies van een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me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d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isch bevoegde pr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o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fessional. Alleen in overleg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n met goedkeur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i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ng van jouzelf kan de behandelaar met je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b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e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handelend art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s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c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ontact opnemen. Je bent op de hoo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g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te van de mogelijk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h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eden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en de beperkingen die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Transformation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al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 xml:space="preserve"> Cupping 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b</w:t>
      </w:r>
      <w:r>
        <w:rPr>
          <w:sz w:val="16"/>
          <w:szCs w:val="16"/>
          <w:shd w:val="clear"/>
          <w:rFonts w:ascii="Verdana" w:eastAsia="Times New Roman" w:hAnsi="Times New Roman" w:cs="Times New Roman"/>
          <w:lang/>
        </w:rPr>
        <w:t>iedt.</w:t>
      </w:r>
    </w:p>
    <w:sectPr>
      <w15:footnoteColumns w:val="1"/>
      <w:headerReference w:type="default" r:id="rId5"/>
      <w:pgSz w:w="11907" w:h="16840" w:code="9"/>
      <w:pgMar w:top="540" w:left="1560" w:bottom="719" w:right="987" w:header="340" w:footer="352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Monotype Sorts">
    <w:altName w:val="Courier New"/>
    <w:panose1 w:val="00000000000000000000"/>
    <w:charset w:val="2"/>
    <w:family w:val="auto"/>
    <w:pitch w:val="variable"/>
    <w:sig w:usb0="00000000" w:usb1="00000000" w:usb2="00000000" w:usb3="00000000" w:csb0="00000000" w:csb1="00000000"/>
  </w:font>
  <w:font w:name="PMingLiU">
    <w:altName w:val="￦ﾖﾰ￧ﾴﾰ￦ﾘﾎ￩ﾫ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"/>
    <w:family w:val="swiss"/>
    <w:pitch w:val="variable"/>
    <w:sig w:usb0="e4002eff" w:usb1="c200247b" w:usb2="00000009" w:usb3="00000000" w:csb0="000001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 w15">
  <w:p>
    <w:pPr>
      <w:rPr>
        <w:shd w:val="clear"/>
      </w:rPr>
    </w:pPr>
  </w:p>
  <w:p>
    <w:pPr>
      <w:pStyle w:val="PO152"/>
      <w:jc w:val="center"/>
      <w:rPr>
        <w:shd w:val="clear"/>
        <w:rFonts w:ascii="Arial" w:hAnsi="Arial" w:cs="Arial"/>
        <w:lang w:val="en-US"/>
      </w:rPr>
    </w:pPr>
  </w:p>
  <w:p>
    <w:pPr>
      <w:pStyle w:val="PO152"/>
      <w:rPr>
        <w:b w:val="1"/>
        <w:sz w:val="16"/>
        <w:szCs w:val="16"/>
        <w:shd w:val="clear"/>
        <w:rFonts w:ascii="Verdana" w:hAnsi="Verdana" w:cs="Arial"/>
        <w:lang w:val="en-US"/>
      </w:rPr>
    </w:pPr>
    <w:r>
      <w:rPr>
        <w:shd w:val="clear"/>
        <w:rFonts w:ascii="Arial" w:hAnsi="Arial" w:cs="Arial"/>
        <w:lang w:val="en-US"/>
      </w:rPr>
      <w:t xml:space="preserve">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1F000014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Courier New" w:hAnsi="Courier New" w:hint="default"/>
      </w:rPr>
      <w:lvlText w:val="o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abstractNum w:abstractNumId="1">
    <w:multiLevelType w:val="hybridMultilevel"/>
    <w:nsid w:val="2F000001"/>
    <w:tmpl w:val="1F002411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eastAsia="Symbol" w:hAnsi="Symbol" w:cs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eastAsia="Symbol" w:hAnsi="Symbol" w:cs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eastAsia="Courier New" w:hAnsi="Courier New" w:cs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eastAsia="Wingdings" w:hAnsi="Wingdings" w:cs="Wingdings" w:hint="default"/>
      </w:rPr>
      <w:lvlText w:val="§"/>
    </w:lvl>
  </w:abstractNum>
  <w:abstractNum w:abstractNumId="2">
    <w:multiLevelType w:val="hybridMultilevel"/>
    <w:nsid w:val="2F000002"/>
    <w:tmpl w:val="1F000C5F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hd w:val="clear"/>
        <w:rFonts w:ascii="Courier New" w:hAnsi="Courier New" w:hint="default"/>
      </w:rPr>
      <w:lvlText w:val="o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hd w:val="clear"/>
        <w:rFonts w:ascii="Courier New" w:hAnsi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hd w:val="clear"/>
        <w:rFonts w:ascii="Wingdings" w:hAnsi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hd w:val="clear"/>
        <w:rFonts w:ascii="Symbol" w:hAnsi="Symbol" w:hint="default"/>
      </w:rPr>
      <w:lvlText w:val="·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hd w:val="clear"/>
        <w:rFonts w:ascii="Courier New" w:hAnsi="Courier New" w:hint="default"/>
      </w:rPr>
      <w:lvlText w:val="o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hd w:val="clear"/>
        <w:rFonts w:ascii="Wingdings" w:hAnsi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hd w:val="clear"/>
        <w:rFonts w:ascii="Symbol" w:hAnsi="Symbol" w:hint="default"/>
      </w:rPr>
      <w:lvlText w:val="·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hd w:val="clear"/>
        <w:rFonts w:ascii="Courier New" w:hAnsi="Courier New" w:hint="default"/>
      </w:rPr>
      <w:lvlText w:val="o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hd w:val="clear"/>
        <w:rFonts w:ascii="Wingdings" w:hAnsi="Wingdings" w:hint="default"/>
      </w:rPr>
      <w:lvlText w:val="§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zh-TW"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hd w:val="clear"/>
        <w:rFonts w:ascii="Times New Roman" w:eastAsia="Times New Roman" w:hAnsi="Times New Roman" w:cs="Times New Roman"/>
        <w:lang w:bidi="ar-SA" w:eastAsia="zh-TW" w:val="nl-NL"/>
      </w:rPr>
    </w:rPrDefault>
  </w:docDefaults>
  <w:style w:default="1" w:styleId="PO1" w:type="paragraph">
    <w:name w:val="Normal"/>
    <w:qFormat/>
    <w:rPr>
      <w:shd w:val="clear"/>
      <w:lang w:eastAsia="nl-NL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151" w:type="paragraph">
    <w:name w:val="Plain Text"/>
    <w:basedOn w:val="PO1"/>
    <w:rPr>
      <w:shd w:val="clear"/>
      <w:rFonts w:ascii="Courier New" w:hAnsi="Courier New"/>
    </w:rPr>
  </w:style>
  <w:style w:styleId="PO152" w:type="paragraph">
    <w:name w:val="header"/>
    <w:basedOn w:val="PO1"/>
    <w:link w:val="PO155"/>
    <w:uiPriority w:val="99"/>
    <w:pPr>
      <w:tabs>
        <w:tab w:val="center" w:pos="4536"/>
        <w:tab w:val="right" w:pos="9072"/>
      </w:tabs>
      <w:rPr/>
    </w:pPr>
  </w:style>
  <w:style w:styleId="PO153" w:type="paragraph">
    <w:name w:val="footer"/>
    <w:basedOn w:val="PO1"/>
    <w:pPr>
      <w:tabs>
        <w:tab w:val="center" w:pos="4536"/>
        <w:tab w:val="right" w:pos="9072"/>
      </w:tabs>
      <w:rPr/>
    </w:pPr>
  </w:style>
  <w:style w:styleId="PO154" w:type="character">
    <w:name w:val="Hyperlink"/>
    <w:basedOn w:val="PO2"/>
    <w:rPr>
      <w:color w:val="0000FF"/>
      <w:u w:val="single"/>
      <w:shd w:val="clear"/>
    </w:rPr>
  </w:style>
  <w:style w:customStyle="1" w:styleId="PO155" w:type="character">
    <w:name w:val="Koptekst Char"/>
    <w:basedOn w:val="PO2"/>
    <w:link w:val="PO152"/>
    <w:uiPriority w:val="99"/>
    <w:rPr>
      <w:shd w:val="clear"/>
      <w:lang w:eastAsia="nl-NL"/>
    </w:rPr>
  </w:style>
  <w:style w:styleId="PO156" w:type="paragraph">
    <w:name w:val="Balloon Text"/>
    <w:basedOn w:val="PO1"/>
    <w:link w:val="PO157"/>
    <w:rPr>
      <w:sz w:val="16"/>
      <w:szCs w:val="16"/>
      <w:shd w:val="clear"/>
      <w:rFonts w:ascii="Tahoma" w:hAnsi="Tahoma" w:cs="Tahoma"/>
    </w:rPr>
  </w:style>
  <w:style w:customStyle="1" w:styleId="PO157" w:type="character">
    <w:name w:val="Ballontekst Char"/>
    <w:basedOn w:val="PO2"/>
    <w:link w:val="PO156"/>
    <w:rPr>
      <w:sz w:val="16"/>
      <w:szCs w:val="16"/>
      <w:shd w:val="clear"/>
      <w:rFonts w:ascii="Tahoma" w:hAnsi="Tahoma" w:cs="Tahoma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9003</Characters>
  <CharactersWithSpaces>0</CharactersWithSpaces>
  <Company>Hogeschool van Utrecht</Company>
  <DocSecurity>0</DocSecurity>
  <HyperlinksChanged>false</HyperlinksChanged>
  <Lines>63</Lines>
  <LinksUpToDate>false</LinksUpToDate>
  <Pages>1</Pages>
  <Paragraphs>18</Paragraphs>
  <Words>1387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Mignon Biesta</dc:creator>
  <cp:lastModifiedBy>Nostalgia Top 10</cp:lastModifiedBy>
  <dc:title>Voorbeeld rapportageformulier screening</dc:title>
  <cp:version>9.104.158.49655</cp:version>
  <dcterms:modified xsi:type="dcterms:W3CDTF">2023-03-13T09:39:00Z</dcterms:modified>
</cp:coreProperties>
</file>